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9964" w14:textId="77777777" w:rsidR="00FF794F" w:rsidRDefault="00FF794F" w:rsidP="00FF794F">
      <w:pPr>
        <w:spacing w:after="120" w:line="240" w:lineRule="auto"/>
        <w:ind w:right="-516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</w:p>
    <w:p w14:paraId="4A60845E" w14:textId="54BC9D2D" w:rsidR="00FF794F" w:rsidRPr="00C77AD2" w:rsidRDefault="00FF794F" w:rsidP="00FF794F">
      <w:pPr>
        <w:spacing w:after="120" w:line="240" w:lineRule="auto"/>
        <w:ind w:right="-516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b/>
          <w:bCs/>
          <w:sz w:val="24"/>
          <w:szCs w:val="24"/>
          <w:lang w:val="gl-ES"/>
        </w:rPr>
        <w:t>ANEXO IV.B</w:t>
      </w:r>
    </w:p>
    <w:p w14:paraId="73C2F12C" w14:textId="77777777" w:rsidR="00FF794F" w:rsidRDefault="00FF794F" w:rsidP="00FF794F">
      <w:pPr>
        <w:spacing w:after="120" w:line="240" w:lineRule="auto"/>
        <w:ind w:right="-516"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b/>
          <w:bCs/>
          <w:sz w:val="24"/>
          <w:szCs w:val="24"/>
          <w:lang w:val="gl-ES"/>
        </w:rPr>
        <w:t>Declaración de cesión e tratamento de datos</w:t>
      </w:r>
    </w:p>
    <w:p w14:paraId="281E86EF" w14:textId="77777777" w:rsidR="00FF794F" w:rsidRPr="00C77AD2" w:rsidRDefault="00FF794F" w:rsidP="00FF794F">
      <w:pPr>
        <w:spacing w:after="120" w:line="240" w:lineRule="auto"/>
        <w:ind w:right="-516"/>
        <w:jc w:val="center"/>
        <w:rPr>
          <w:rFonts w:asciiTheme="minorHAnsi" w:hAnsiTheme="minorHAnsi" w:cstheme="minorHAnsi"/>
          <w:b/>
          <w:bCs/>
          <w:sz w:val="24"/>
          <w:szCs w:val="24"/>
          <w:lang w:val="gl-ES"/>
        </w:rPr>
      </w:pPr>
    </w:p>
    <w:p w14:paraId="18AB1BD3" w14:textId="77777777" w:rsidR="00FF794F" w:rsidRPr="00C77AD2" w:rsidRDefault="00FF794F" w:rsidP="00FF794F">
      <w:pPr>
        <w:spacing w:after="120" w:line="240" w:lineRule="auto"/>
        <w:ind w:right="-516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>Don/Dona ……………………………………………………, DNI …………………….., na condición de solicitante dunha “</w:t>
      </w:r>
      <w:r w:rsidRPr="008945E2">
        <w:rPr>
          <w:rFonts w:asciiTheme="minorHAnsi" w:eastAsia="Times New Roman" w:hAnsiTheme="minorHAnsi" w:cstheme="minorHAnsi"/>
          <w:bCs/>
          <w:sz w:val="24"/>
          <w:szCs w:val="24"/>
          <w:lang w:val="gl-ES" w:eastAsia="es-ES"/>
        </w:rPr>
        <w:t xml:space="preserve">Bolsa para a realización de </w:t>
      </w:r>
      <w:proofErr w:type="spellStart"/>
      <w:r w:rsidRPr="008945E2">
        <w:rPr>
          <w:rFonts w:asciiTheme="minorHAnsi" w:eastAsia="Times New Roman" w:hAnsiTheme="minorHAnsi" w:cstheme="minorHAnsi"/>
          <w:bCs/>
          <w:sz w:val="24"/>
          <w:szCs w:val="24"/>
          <w:lang w:val="gl-ES" w:eastAsia="es-ES"/>
        </w:rPr>
        <w:t>Microcredenciais</w:t>
      </w:r>
      <w:proofErr w:type="spellEnd"/>
      <w:r w:rsidRPr="008945E2">
        <w:rPr>
          <w:rFonts w:asciiTheme="minorHAnsi" w:eastAsia="Times New Roman" w:hAnsiTheme="minorHAnsi" w:cstheme="minorHAnsi"/>
          <w:bCs/>
          <w:sz w:val="24"/>
          <w:szCs w:val="24"/>
          <w:lang w:val="gl-ES" w:eastAsia="es-ES"/>
        </w:rPr>
        <w:t xml:space="preserve"> incluídas no “Plan de desenvolvemento de </w:t>
      </w:r>
      <w:proofErr w:type="spellStart"/>
      <w:r w:rsidRPr="008945E2">
        <w:rPr>
          <w:rFonts w:asciiTheme="minorHAnsi" w:eastAsia="Times New Roman" w:hAnsiTheme="minorHAnsi" w:cstheme="minorHAnsi"/>
          <w:bCs/>
          <w:sz w:val="24"/>
          <w:szCs w:val="24"/>
          <w:lang w:val="gl-ES" w:eastAsia="es-ES"/>
        </w:rPr>
        <w:t>microcredenciais</w:t>
      </w:r>
      <w:proofErr w:type="spellEnd"/>
      <w:r w:rsidRPr="008945E2">
        <w:rPr>
          <w:rFonts w:asciiTheme="minorHAnsi" w:eastAsia="Times New Roman" w:hAnsiTheme="minorHAnsi" w:cstheme="minorHAnsi"/>
          <w:bCs/>
          <w:sz w:val="24"/>
          <w:szCs w:val="24"/>
          <w:lang w:val="gl-ES" w:eastAsia="es-ES"/>
        </w:rPr>
        <w:t xml:space="preserve"> universitarias”</w:t>
      </w:r>
      <w:r w:rsidRPr="008945E2">
        <w:rPr>
          <w:rFonts w:asciiTheme="minorHAnsi" w:hAnsiTheme="minorHAnsi" w:cstheme="minorHAnsi"/>
          <w:bCs/>
          <w:sz w:val="24"/>
          <w:szCs w:val="24"/>
          <w:lang w:val="gl-ES"/>
        </w:rPr>
        <w:t>” no marco do Plan de Recuperación, Transformación e Resiliencia (PRTR)” e domicilio en …………………………………………………….…………………………………………………………</w:t>
      </w: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 , no desenvolvemento das actuacións necesarias para a consecución dos obxectivos definidos no</w:t>
      </w:r>
      <w:r w:rsidRPr="00C77AD2">
        <w:rPr>
          <w:rFonts w:cs="Calibri"/>
          <w:sz w:val="24"/>
          <w:szCs w:val="24"/>
          <w:lang w:val="gl-ES"/>
        </w:rPr>
        <w:t xml:space="preserve"> Compoñente 2</w:t>
      </w:r>
      <w:r>
        <w:rPr>
          <w:rFonts w:cs="Calibri"/>
          <w:sz w:val="24"/>
          <w:szCs w:val="24"/>
          <w:lang w:val="gl-ES"/>
        </w:rPr>
        <w:t>1</w:t>
      </w:r>
      <w:r w:rsidRPr="00C77AD2">
        <w:rPr>
          <w:rFonts w:cs="Calibri"/>
          <w:sz w:val="24"/>
          <w:szCs w:val="24"/>
          <w:lang w:val="gl-ES"/>
        </w:rPr>
        <w:t xml:space="preserve"> </w:t>
      </w:r>
      <w:r w:rsidRPr="00E859AB">
        <w:rPr>
          <w:rFonts w:cs="Calibri"/>
          <w:sz w:val="24"/>
          <w:szCs w:val="24"/>
          <w:lang w:val="gl-ES"/>
        </w:rPr>
        <w:t>“</w:t>
      </w:r>
      <w:r w:rsidRPr="00E859AB">
        <w:rPr>
          <w:rFonts w:cs="Calibri"/>
          <w:sz w:val="24"/>
          <w:szCs w:val="24"/>
        </w:rPr>
        <w:t xml:space="preserve"> Modernización e </w:t>
      </w:r>
      <w:proofErr w:type="spellStart"/>
      <w:r w:rsidRPr="00E859AB">
        <w:rPr>
          <w:rFonts w:cs="Calibri"/>
          <w:sz w:val="24"/>
          <w:szCs w:val="24"/>
        </w:rPr>
        <w:t>dixitalización</w:t>
      </w:r>
      <w:proofErr w:type="spellEnd"/>
      <w:r w:rsidRPr="00E859AB">
        <w:rPr>
          <w:rFonts w:cs="Calibri"/>
          <w:sz w:val="24"/>
          <w:szCs w:val="24"/>
        </w:rPr>
        <w:t xml:space="preserve"> do sistema educativo para avanzar a un modelo personalizado, inclusivo e flexible, que se adapte </w:t>
      </w:r>
      <w:proofErr w:type="spellStart"/>
      <w:r w:rsidRPr="00E859AB">
        <w:rPr>
          <w:rFonts w:cs="Calibri"/>
          <w:sz w:val="24"/>
          <w:szCs w:val="24"/>
        </w:rPr>
        <w:t>ás</w:t>
      </w:r>
      <w:proofErr w:type="spellEnd"/>
      <w:r w:rsidRPr="00E859AB">
        <w:rPr>
          <w:rFonts w:cs="Calibri"/>
          <w:sz w:val="24"/>
          <w:szCs w:val="24"/>
        </w:rPr>
        <w:t xml:space="preserve"> necesidades de cada alumno</w:t>
      </w:r>
      <w:r w:rsidRPr="00E859AB">
        <w:rPr>
          <w:rFonts w:cs="Calibri"/>
          <w:sz w:val="24"/>
          <w:szCs w:val="24"/>
          <w:lang w:val="gl-ES"/>
        </w:rPr>
        <w:t>”</w:t>
      </w:r>
      <w:r>
        <w:rPr>
          <w:rFonts w:cs="Calibri"/>
          <w:sz w:val="24"/>
          <w:szCs w:val="24"/>
          <w:lang w:val="gl-ES"/>
        </w:rPr>
        <w:t xml:space="preserve">, </w:t>
      </w:r>
      <w:r w:rsidRPr="00E859AB">
        <w:rPr>
          <w:rFonts w:asciiTheme="minorHAnsi" w:hAnsiTheme="minorHAnsi" w:cstheme="minorHAnsi"/>
          <w:sz w:val="24"/>
          <w:szCs w:val="24"/>
          <w:lang w:val="gl-ES"/>
        </w:rPr>
        <w:t>d</w:t>
      </w: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eclara coñecer a normativa que é de aplicación, en particular os seguintes apartados do artigo 22, do Regulamento (UE) 2021/241 do Parlamento Europeo e do Consello, de 12 de febreiro de 2021, polo que se establece o Mecanismo de Recuperación e Resiliencia: </w:t>
      </w:r>
    </w:p>
    <w:p w14:paraId="7757246C" w14:textId="77777777" w:rsidR="00FF794F" w:rsidRPr="00C77AD2" w:rsidRDefault="00FF794F" w:rsidP="00FF794F">
      <w:pPr>
        <w:spacing w:after="120" w:line="240" w:lineRule="auto"/>
        <w:ind w:right="-516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1. A letra d) do apartado 2: «solicitar, a efectos de auditoría e control do uso de fondos en relación coas medidas destinadas á execución de reformas e proxectos de investimento no marco do plan de recuperación e resiliencia, nun formato electrónico que permita realizar procuras e nunha base de datos única, as categorías harmonizadas de datos seguintes: </w:t>
      </w:r>
    </w:p>
    <w:p w14:paraId="651D3AF8" w14:textId="77777777" w:rsidR="00FF794F" w:rsidRPr="00C77AD2" w:rsidRDefault="00FF794F" w:rsidP="00FF794F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right="-51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nome do perceptor final dos fondos; </w:t>
      </w:r>
    </w:p>
    <w:p w14:paraId="2D6C2020" w14:textId="77777777" w:rsidR="00FF794F" w:rsidRPr="00C77AD2" w:rsidRDefault="00FF794F" w:rsidP="00FF794F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right="-51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nome do contratista e do </w:t>
      </w:r>
      <w:proofErr w:type="spellStart"/>
      <w:r w:rsidRPr="00C77AD2">
        <w:rPr>
          <w:rFonts w:asciiTheme="minorHAnsi" w:hAnsiTheme="minorHAnsi" w:cstheme="minorHAnsi"/>
          <w:sz w:val="24"/>
          <w:szCs w:val="24"/>
          <w:lang w:val="gl-ES"/>
        </w:rPr>
        <w:t>subcontratista</w:t>
      </w:r>
      <w:proofErr w:type="spellEnd"/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, cando o perceptor final dos fondos sexa un poder adxudicador de conformidade co Dereito da Unión ou nacional en materia de contratación pública; </w:t>
      </w:r>
    </w:p>
    <w:p w14:paraId="281931E9" w14:textId="77777777" w:rsidR="00FF794F" w:rsidRPr="00C77AD2" w:rsidRDefault="00FF794F" w:rsidP="00FF794F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right="-51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>nomes, apelidos e datas de nacemento dos titulares reais do perceptor dos fondos ou do contratista, segundo defínese no artigo 3, punto 6, da Directiva (UE) 2015/849 do Parlamento Europeo e do Consello (26);</w:t>
      </w:r>
    </w:p>
    <w:p w14:paraId="699C79A7" w14:textId="77777777" w:rsidR="00FF794F" w:rsidRPr="00C77AD2" w:rsidRDefault="00FF794F" w:rsidP="00FF794F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right="-51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unha lista de medidas para a execución de reformas e proxectos de investimento no marco do plan de recuperación e resiliencia, xunto co importe total do financiamento público de devanditas medidas e que indique a contía dos fondos desembolsados no marco do Mecanismo e doutros fondos da Unión». </w:t>
      </w:r>
    </w:p>
    <w:p w14:paraId="32F3FCD8" w14:textId="77777777" w:rsidR="00FF794F" w:rsidRPr="00C77AD2" w:rsidRDefault="00FF794F" w:rsidP="00FF794F">
      <w:pPr>
        <w:spacing w:after="120" w:line="240" w:lineRule="auto"/>
        <w:ind w:right="-516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2. Apartado 3: «Os datos persoais mencionados no apartado 2, letra d), do presente artigo só serán tratados polos Estados membros e pola Comisión aos efectos e duración da correspondente auditoría da aprobación da xestión orzamentaria e dos procedementos de control relacionados coa utilización dos fondos relacionados coa aplicación dos acordos a que se refiren os artigos 15, apartado 2, e 23, apartado 1. No marco do procedemento de aprobación da xestión da Comisión, de conformidade co artigo 319 do TFUE, o Mecanismo estará suxeito á presentación de informes no marco da información financeira e de rendición de contas integrada a que se refire o artigo 247 do Regulamento Financeiro e, en particular, por separado, no informe anual de xestión e rendemento». </w:t>
      </w:r>
    </w:p>
    <w:p w14:paraId="5537CA00" w14:textId="77777777" w:rsidR="00FF794F" w:rsidRPr="00C77AD2" w:rsidRDefault="00FF794F" w:rsidP="00FF794F">
      <w:pPr>
        <w:spacing w:after="120" w:line="240" w:lineRule="auto"/>
        <w:ind w:right="-516"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lastRenderedPageBreak/>
        <w:t>Conforme ao marco xurídico exposto, manifesta acceder á cesión e tratamento dos datos cos fins expresamente relacionados nos artigos citados.</w:t>
      </w:r>
    </w:p>
    <w:p w14:paraId="584D528B" w14:textId="77777777" w:rsidR="00FF794F" w:rsidRPr="00C77AD2" w:rsidRDefault="00FF794F" w:rsidP="00FF794F">
      <w:pPr>
        <w:spacing w:after="120" w:line="240" w:lineRule="auto"/>
        <w:ind w:right="-516"/>
        <w:contextualSpacing/>
        <w:jc w:val="both"/>
        <w:rPr>
          <w:rFonts w:asciiTheme="minorHAnsi" w:hAnsiTheme="minorHAnsi" w:cstheme="minorHAnsi"/>
          <w:sz w:val="24"/>
          <w:szCs w:val="24"/>
          <w:lang w:val="gl-ES"/>
        </w:rPr>
      </w:pPr>
    </w:p>
    <w:p w14:paraId="29647198" w14:textId="77777777" w:rsidR="00FF794F" w:rsidRPr="00C77AD2" w:rsidRDefault="00FF794F" w:rsidP="00FF794F">
      <w:pPr>
        <w:spacing w:after="120" w:line="240" w:lineRule="auto"/>
        <w:ind w:right="-516"/>
        <w:contextualSpacing/>
        <w:jc w:val="both"/>
        <w:rPr>
          <w:rFonts w:asciiTheme="minorHAnsi" w:hAnsiTheme="minorHAnsi" w:cstheme="minorHAnsi"/>
          <w:sz w:val="24"/>
          <w:szCs w:val="24"/>
          <w:lang w:val="gl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……………………………..., …….. de …………… de 202…. </w:t>
      </w:r>
    </w:p>
    <w:p w14:paraId="257D40FF" w14:textId="07645578" w:rsidR="00EA3083" w:rsidRPr="00FF794F" w:rsidRDefault="00FF794F" w:rsidP="00FF794F">
      <w:pPr>
        <w:spacing w:after="120" w:line="240" w:lineRule="auto"/>
        <w:ind w:right="-516"/>
        <w:contextualSpacing/>
        <w:jc w:val="both"/>
        <w:rPr>
          <w:rFonts w:eastAsia="Times New Roman" w:cs="Calibri"/>
          <w:sz w:val="24"/>
          <w:szCs w:val="24"/>
          <w:lang w:val="gl-ES" w:eastAsia="es-ES"/>
        </w:rPr>
      </w:pPr>
      <w:r w:rsidRPr="00C77AD2">
        <w:rPr>
          <w:rFonts w:asciiTheme="minorHAnsi" w:hAnsiTheme="minorHAnsi" w:cstheme="minorHAnsi"/>
          <w:sz w:val="24"/>
          <w:szCs w:val="24"/>
          <w:lang w:val="gl-ES"/>
        </w:rPr>
        <w:t xml:space="preserve">Fdo. ……………………………………………. </w:t>
      </w:r>
    </w:p>
    <w:sectPr w:rsidR="00EA3083" w:rsidRPr="00FF79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3993" w14:textId="77777777" w:rsidR="00563514" w:rsidRDefault="00563514" w:rsidP="00FF794F">
      <w:pPr>
        <w:spacing w:after="0" w:line="240" w:lineRule="auto"/>
      </w:pPr>
      <w:r>
        <w:separator/>
      </w:r>
    </w:p>
  </w:endnote>
  <w:endnote w:type="continuationSeparator" w:id="0">
    <w:p w14:paraId="56D3FA95" w14:textId="77777777" w:rsidR="00563514" w:rsidRDefault="00563514" w:rsidP="00FF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Sitka Display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11CC" w14:textId="77777777" w:rsidR="00563514" w:rsidRDefault="00563514" w:rsidP="00FF794F">
      <w:pPr>
        <w:spacing w:after="0" w:line="240" w:lineRule="auto"/>
      </w:pPr>
      <w:r>
        <w:separator/>
      </w:r>
    </w:p>
  </w:footnote>
  <w:footnote w:type="continuationSeparator" w:id="0">
    <w:p w14:paraId="0626A2D0" w14:textId="77777777" w:rsidR="00563514" w:rsidRDefault="00563514" w:rsidP="00FF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2" w:type="pct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4"/>
      <w:gridCol w:w="647"/>
      <w:gridCol w:w="6060"/>
    </w:tblGrid>
    <w:tr w:rsidR="00FF794F" w:rsidRPr="008F20D8" w14:paraId="3960F114" w14:textId="77777777" w:rsidTr="009B7F08">
      <w:trPr>
        <w:trHeight w:val="497"/>
      </w:trPr>
      <w:tc>
        <w:tcPr>
          <w:tcW w:w="1279" w:type="pct"/>
          <w:tcBorders>
            <w:top w:val="single" w:sz="4" w:space="0" w:color="auto"/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51A4D93" w14:textId="77777777" w:rsidR="00FF794F" w:rsidRDefault="00FF794F" w:rsidP="00FF794F">
          <w:pPr>
            <w:spacing w:before="60" w:after="200"/>
            <w:ind w:left="-122"/>
            <w:contextualSpacing/>
            <w:rPr>
              <w:rFonts w:ascii="ITC New Baskerville Std" w:hAnsi="ITC New Baskerville Std" w:cs="Calibri"/>
              <w:noProof/>
              <w:sz w:val="21"/>
              <w:szCs w:val="21"/>
              <w:lang w:eastAsia="gl-ES"/>
            </w:rPr>
          </w:pPr>
          <w:r w:rsidRPr="008F20D8">
            <w:rPr>
              <w:rFonts w:ascii="ITC New Baskerville Std" w:hAnsi="ITC New Baskerville Std" w:cs="Calibri"/>
              <w:noProof/>
              <w:sz w:val="21"/>
              <w:szCs w:val="21"/>
              <w:lang w:val="gl-ES" w:eastAsia="gl-ES"/>
            </w:rPr>
            <w:drawing>
              <wp:inline distT="0" distB="0" distL="0" distR="0" wp14:anchorId="39DBF6EB" wp14:editId="469C6BB0">
                <wp:extent cx="1504950" cy="297207"/>
                <wp:effectExtent l="0" t="0" r="0" b="7620"/>
                <wp:docPr id="2034217826" name="Imagen 2034217826" descr="Descripció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9241" cy="30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" w:type="pct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D1ECF99" w14:textId="77777777" w:rsidR="00FF794F" w:rsidRDefault="00FF794F" w:rsidP="00FF794F">
          <w:pPr>
            <w:rPr>
              <w:rFonts w:ascii="ITC New Baskerville Std" w:hAnsi="ITC New Baskerville Std" w:cs="Calibri"/>
              <w:noProof/>
              <w:color w:val="59178A"/>
              <w:spacing w:val="-8"/>
              <w:position w:val="4"/>
              <w:sz w:val="24"/>
              <w:szCs w:val="24"/>
              <w:lang w:eastAsia="gl-ES"/>
            </w:rPr>
          </w:pPr>
        </w:p>
      </w:tc>
      <w:tc>
        <w:tcPr>
          <w:tcW w:w="3335" w:type="pct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0F2090" w14:textId="77777777" w:rsidR="00FF794F" w:rsidRPr="001E5B49" w:rsidRDefault="00FF794F" w:rsidP="00FF794F">
          <w:pPr>
            <w:spacing w:before="60" w:after="200"/>
            <w:ind w:left="-108"/>
            <w:contextualSpacing/>
            <w:jc w:val="right"/>
            <w:rPr>
              <w:rFonts w:ascii="Sitka Display Semibold" w:hAnsi="Sitka Display Semibold" w:cs="Calibri"/>
              <w:noProof/>
              <w:color w:val="857040"/>
              <w:sz w:val="21"/>
              <w:szCs w:val="21"/>
              <w:lang w:eastAsia="gl-ES"/>
            </w:rPr>
          </w:pPr>
          <w:r w:rsidRPr="001E5B49">
            <w:rPr>
              <w:rFonts w:ascii="Sitka Display Semibold" w:hAnsi="Sitka Display Semibold" w:cstheme="minorHAnsi"/>
              <w:noProof/>
              <w:color w:val="857040"/>
              <w:spacing w:val="-8"/>
              <w:position w:val="4"/>
              <w:lang w:eastAsia="gl-ES"/>
            </w:rPr>
            <w:t>Vicerreitoría de Titulacións e Innovación Docente</w:t>
          </w:r>
        </w:p>
      </w:tc>
    </w:tr>
  </w:tbl>
  <w:p w14:paraId="570D7204" w14:textId="77777777" w:rsidR="00FF794F" w:rsidRDefault="00FF794F" w:rsidP="00FF794F">
    <w:pPr>
      <w:pStyle w:val="Encabezado"/>
      <w:jc w:val="right"/>
      <w:rPr>
        <w:color w:val="EE0000"/>
        <w:sz w:val="32"/>
        <w:szCs w:val="32"/>
      </w:rPr>
    </w:pPr>
    <w:r>
      <w:rPr>
        <w:rFonts w:eastAsia="Times New Roman"/>
        <w:noProof/>
        <w:color w:val="000000"/>
      </w:rPr>
      <w:drawing>
        <wp:inline distT="0" distB="0" distL="0" distR="0" wp14:anchorId="79DC225D" wp14:editId="0D1F4B6A">
          <wp:extent cx="5670550" cy="327025"/>
          <wp:effectExtent l="0" t="0" r="6350" b="0"/>
          <wp:docPr id="17714786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9DA5E" w14:textId="77777777" w:rsidR="00FF794F" w:rsidRDefault="00FF7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0E4F"/>
    <w:multiLevelType w:val="hybridMultilevel"/>
    <w:tmpl w:val="23F2874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D1"/>
    <w:rsid w:val="002365D7"/>
    <w:rsid w:val="003236D1"/>
    <w:rsid w:val="00563514"/>
    <w:rsid w:val="00937DB3"/>
    <w:rsid w:val="00EA3083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FD8E"/>
  <w15:chartTrackingRefBased/>
  <w15:docId w15:val="{7F549021-19F5-4578-A626-A741228D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4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6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6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6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6D1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3236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6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6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6D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94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4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d0dfa6b-acf9-45e6-bfe6-54f1c38fe2f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Barcia Alonso</dc:creator>
  <cp:keywords/>
  <dc:description/>
  <cp:lastModifiedBy>Carla Barcia Alonso</cp:lastModifiedBy>
  <cp:revision>2</cp:revision>
  <dcterms:created xsi:type="dcterms:W3CDTF">2026-04-14T11:58:00Z</dcterms:created>
  <dcterms:modified xsi:type="dcterms:W3CDTF">2026-04-14T11:59:00Z</dcterms:modified>
</cp:coreProperties>
</file>